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/>
          <w:sz w:val="28"/>
          <w:szCs w:val="36"/>
        </w:rPr>
      </w:pPr>
      <w:r>
        <w:rPr>
          <w:rFonts w:hint="default" w:ascii="Times New Roman" w:hAnsi="Times New Roman" w:eastAsia="黑体" w:cs="Times New Roman"/>
          <w:b/>
          <w:sz w:val="28"/>
          <w:szCs w:val="36"/>
          <w:lang w:val="en-US" w:eastAsia="zh-CN"/>
        </w:rPr>
        <w:t>西北大学</w:t>
      </w:r>
      <w:r>
        <w:rPr>
          <w:rFonts w:hint="default" w:ascii="Times New Roman" w:hAnsi="Times New Roman" w:eastAsia="黑体" w:cs="Times New Roman"/>
          <w:b/>
          <w:sz w:val="28"/>
          <w:szCs w:val="36"/>
        </w:rPr>
        <w:t>重点实验室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sz w:val="28"/>
          <w:szCs w:val="36"/>
          <w:lang w:val="en-US" w:eastAsia="zh-CN"/>
        </w:rPr>
        <w:t>科研</w:t>
      </w:r>
      <w:r>
        <w:rPr>
          <w:rFonts w:hint="default" w:ascii="Times New Roman" w:hAnsi="Times New Roman" w:eastAsia="黑体" w:cs="Times New Roman"/>
          <w:b/>
          <w:sz w:val="28"/>
          <w:szCs w:val="36"/>
        </w:rPr>
        <w:t>成果奖励办法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为了调动</w:t>
      </w:r>
      <w:r>
        <w:rPr>
          <w:rFonts w:hint="default" w:ascii="Times New Roman" w:hAnsi="Times New Roman" w:cs="Times New Roman"/>
          <w:sz w:val="24"/>
          <w:lang w:val="en-US" w:eastAsia="zh-CN"/>
        </w:rPr>
        <w:t>西北大学</w:t>
      </w:r>
      <w:r>
        <w:rPr>
          <w:rFonts w:hint="default" w:ascii="Times New Roman" w:hAnsi="Times New Roman" w:cs="Times New Roman"/>
          <w:sz w:val="24"/>
        </w:rPr>
        <w:t>重点实验室科技人员尤其是青年科技人员从事科学研究的积极性，以产出更多高水平的原创性成果，特制订本办法，具体如下：</w:t>
      </w:r>
      <w:r>
        <w:rPr>
          <w:rFonts w:hint="default" w:ascii="Times New Roman" w:hAnsi="Times New Roman" w:cs="Times New Roman"/>
          <w:sz w:val="24"/>
          <w:lang w:val="en-US" w:eastAsia="zh-CN"/>
        </w:rPr>
        <w:t>西北大学</w:t>
      </w:r>
      <w:r>
        <w:rPr>
          <w:rFonts w:hint="default" w:ascii="Times New Roman" w:hAnsi="Times New Roman" w:cs="Times New Roman"/>
          <w:sz w:val="24"/>
        </w:rPr>
        <w:t>重点实验室对第一完成人第一单位署名实验室的科技成果进行奖励。</w:t>
      </w:r>
    </w:p>
    <w:p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奖励标准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lang w:val="en-US" w:eastAsia="zh-CN"/>
        </w:rPr>
        <w:t>1）</w:t>
      </w:r>
      <w:r>
        <w:rPr>
          <w:rFonts w:hint="default" w:ascii="Times New Roman" w:hAnsi="Times New Roman" w:cs="Times New Roman"/>
          <w:sz w:val="24"/>
        </w:rPr>
        <w:t>学术论文奖励：对国际著名学术刊物</w:t>
      </w:r>
      <w:r>
        <w:rPr>
          <w:rFonts w:hint="default" w:ascii="Times New Roman" w:hAnsi="Times New Roman" w:cs="Times New Roman"/>
          <w:sz w:val="24"/>
          <w:lang w:val="fr-FR"/>
        </w:rPr>
        <w:t>Nature</w:t>
      </w:r>
      <w:r>
        <w:rPr>
          <w:rFonts w:hint="default" w:ascii="Times New Roman" w:hAnsi="Times New Roman" w:cs="Times New Roman"/>
          <w:sz w:val="24"/>
        </w:rPr>
        <w:t>和</w:t>
      </w:r>
      <w:r>
        <w:rPr>
          <w:rFonts w:hint="default" w:ascii="Times New Roman" w:hAnsi="Times New Roman" w:cs="Times New Roman"/>
          <w:sz w:val="24"/>
          <w:lang w:val="fr-FR"/>
        </w:rPr>
        <w:t>Science</w:t>
      </w:r>
      <w:r>
        <w:rPr>
          <w:rFonts w:hint="default" w:ascii="Times New Roman" w:hAnsi="Times New Roman" w:cs="Times New Roman"/>
          <w:sz w:val="24"/>
        </w:rPr>
        <w:t>上发表的学术论文，实验室每篇奖励2.5万元；SCI（科学引文索引）一区收录期刊上发表的学术论文，每篇奖励2万元；SCI二区收录期刊上发表的学术论文，每篇奖励1.5万元；SCI三区收录期刊上发表的学术论文，每篇奖励0.5万元；SCI四区收录期刊上发表的学术论文，每篇奖励0.25万元。SCI分区以中国科学院文献情报所当年的划分结果为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lang w:val="fr-FR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lang w:val="en-US" w:eastAsia="zh-CN"/>
        </w:rPr>
        <w:t>2）</w:t>
      </w:r>
      <w:r>
        <w:rPr>
          <w:rFonts w:hint="default" w:ascii="Times New Roman" w:hAnsi="Times New Roman" w:cs="Times New Roman"/>
          <w:sz w:val="24"/>
        </w:rPr>
        <w:t>获得省部级科学技术一等奖，每项奖励3万元；国家科学技术二等奖及以上奖励，每项奖励不低于6万元。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lang w:val="fr-FR"/>
        </w:rPr>
      </w:pPr>
      <w:r>
        <w:rPr>
          <w:rFonts w:hint="eastAsia" w:ascii="Times New Roman" w:hAnsi="Times New Roman" w:cs="Times New Roman"/>
          <w:sz w:val="24"/>
          <w:lang w:val="fr-FR" w:eastAsia="zh-CN"/>
        </w:rPr>
        <w:t>（</w:t>
      </w:r>
      <w:r>
        <w:rPr>
          <w:rFonts w:hint="eastAsia" w:ascii="Times New Roman" w:hAnsi="Times New Roman" w:cs="Times New Roman"/>
          <w:sz w:val="24"/>
          <w:lang w:val="en-US" w:eastAsia="zh-CN"/>
        </w:rPr>
        <w:t>3）</w:t>
      </w:r>
      <w:r>
        <w:rPr>
          <w:rFonts w:hint="default" w:ascii="Times New Roman" w:hAnsi="Times New Roman" w:cs="Times New Roman"/>
          <w:sz w:val="24"/>
          <w:lang w:val="fr-FR"/>
        </w:rPr>
        <w:t>获得</w:t>
      </w:r>
      <w:r>
        <w:rPr>
          <w:rFonts w:hint="default" w:ascii="Times New Roman" w:hAnsi="Times New Roman" w:cs="Times New Roman"/>
          <w:sz w:val="24"/>
        </w:rPr>
        <w:t>国家发明专利（含公示期），每项奖励1万元。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lang w:val="fr-FR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lang w:val="en-US" w:eastAsia="zh-CN"/>
        </w:rPr>
        <w:t>4）</w:t>
      </w:r>
      <w:r>
        <w:rPr>
          <w:rFonts w:hint="default" w:ascii="Times New Roman" w:hAnsi="Times New Roman" w:cs="Times New Roman"/>
          <w:sz w:val="24"/>
        </w:rPr>
        <w:t>为了加强对40岁以下的年轻教师和科技人员的培养，对于取得的上述成果，实验室按照以上标准，给予双倍奖励。</w:t>
      </w:r>
    </w:p>
    <w:p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  <w:lang w:val="fr-FR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科技成果的奖励以奖金形式发放，收入所得税由获奖者个人承担。</w:t>
      </w:r>
    </w:p>
    <w:p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  <w:lang w:val="fr-FR"/>
        </w:rPr>
      </w:pPr>
      <w:r>
        <w:rPr>
          <w:rFonts w:hint="default" w:ascii="Times New Roman" w:hAnsi="Times New Roman" w:cs="Times New Roman"/>
          <w:sz w:val="24"/>
          <w:lang w:val="fr-FR"/>
        </w:rPr>
        <w:t>奖励成果、对象和标准的审定权和解释权在</w:t>
      </w:r>
      <w:r>
        <w:rPr>
          <w:rFonts w:hint="default" w:ascii="Times New Roman" w:hAnsi="Times New Roman" w:cs="Times New Roman"/>
          <w:sz w:val="24"/>
          <w:lang w:val="en-US" w:eastAsia="zh-CN"/>
        </w:rPr>
        <w:t>西北大学</w:t>
      </w:r>
      <w:r>
        <w:rPr>
          <w:rFonts w:hint="default" w:ascii="Times New Roman" w:hAnsi="Times New Roman" w:cs="Times New Roman"/>
          <w:sz w:val="24"/>
          <w:lang w:val="fr-FR"/>
        </w:rPr>
        <w:t>。</w:t>
      </w:r>
    </w:p>
    <w:p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  <w:lang w:val="fr-FR"/>
        </w:rPr>
      </w:pPr>
      <w:r>
        <w:rPr>
          <w:rFonts w:hint="default" w:ascii="Times New Roman" w:hAnsi="Times New Roman" w:cs="Times New Roman"/>
          <w:sz w:val="24"/>
          <w:lang w:val="fr-FR"/>
        </w:rPr>
        <w:t>本办法从公布之日起执行。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/>
        <w:jc w:val="left"/>
        <w:rPr>
          <w:rFonts w:hint="default" w:ascii="仿宋_GB2312" w:eastAsia="仿宋_GB2312" w:cs="仿宋_GB2312" w:hAnsiTheme="minorHAnsi"/>
          <w:color w:val="383838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70364952">
    <w:nsid w:val="1C093318"/>
    <w:multiLevelType w:val="multilevel"/>
    <w:tmpl w:val="1C093318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703649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84FA2"/>
    <w:rsid w:val="0F455135"/>
    <w:rsid w:val="27960019"/>
    <w:rsid w:val="488C7CEC"/>
    <w:rsid w:val="5573664B"/>
    <w:rsid w:val="5ED0419C"/>
    <w:rsid w:val="68C617F4"/>
    <w:rsid w:val="7CE413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none"/>
    </w:rPr>
  </w:style>
  <w:style w:type="character" w:styleId="4">
    <w:name w:val="Hyperlink"/>
    <w:basedOn w:val="2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xbdx</dc:creator>
  <cp:lastModifiedBy>xbdx</cp:lastModifiedBy>
  <dcterms:modified xsi:type="dcterms:W3CDTF">2016-01-12T08:16:39Z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